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BC1C3">
      <w:pPr>
        <w:pStyle w:val="4"/>
        <w:shd w:val="clear" w:color="auto" w:fill="FFFFFF"/>
        <w:wordWrap w:val="0"/>
        <w:spacing w:before="0" w:beforeAutospacing="0" w:after="0" w:afterAutospacing="0"/>
        <w:ind w:firstLine="420"/>
        <w:rPr>
          <w:rStyle w:val="7"/>
        </w:rPr>
      </w:pPr>
      <w:r>
        <w:rPr>
          <w:rStyle w:val="7"/>
        </w:rPr>
        <w:t>一、指导思想</w:t>
      </w:r>
    </w:p>
    <w:p w14:paraId="155A59D3">
      <w:pPr>
        <w:pStyle w:val="4"/>
        <w:shd w:val="clear" w:color="auto" w:fill="FFFFFF"/>
        <w:wordWrap w:val="0"/>
        <w:spacing w:before="0" w:beforeAutospacing="0" w:after="0" w:afterAutospacing="0"/>
        <w:rPr>
          <w:rFonts w:hint="eastAsia" w:ascii="-apple-system" w:hAnsi="-apple-system"/>
          <w:color w:val="4B4B4B"/>
          <w:sz w:val="21"/>
          <w:szCs w:val="21"/>
        </w:rPr>
      </w:pPr>
      <w:r>
        <w:rPr>
          <w:rFonts w:ascii="-apple-system" w:hAnsi="-apple-system"/>
          <w:color w:val="4B4B4B"/>
          <w:sz w:val="21"/>
          <w:szCs w:val="21"/>
        </w:rPr>
        <w:t>　　以习近平新时代中国特色社会主义思想为指导，深入贯彻党的</w:t>
      </w:r>
      <w:r>
        <w:rPr>
          <w:rFonts w:hint="eastAsia" w:ascii="-apple-system" w:hAnsi="-apple-system"/>
          <w:color w:val="4B4B4B"/>
          <w:sz w:val="21"/>
          <w:szCs w:val="21"/>
          <w:lang w:val="en-US" w:eastAsia="zh-CN"/>
        </w:rPr>
        <w:t>二十</w:t>
      </w:r>
      <w:bookmarkStart w:id="0" w:name="_GoBack"/>
      <w:bookmarkEnd w:id="0"/>
      <w:r>
        <w:rPr>
          <w:rFonts w:ascii="-apple-system" w:hAnsi="-apple-system"/>
          <w:color w:val="4B4B4B"/>
          <w:sz w:val="21"/>
          <w:szCs w:val="21"/>
        </w:rPr>
        <w:t>大精神，按照全国教育大会部署，落实立德树人根本任务，坚持面向市场、服务发展、促进就业的办学方向，健全德技并修、工学结合育人机制，构建德智体美劳全面发展的人才培养体系，突出职业教育的类型特点，深化产教融合、校企合作，推进教师、教材、教法改革，规范人才培养全过程，加快培养复合型技术技能人才。</w:t>
      </w:r>
    </w:p>
    <w:p w14:paraId="4634AD59">
      <w:pPr>
        <w:pStyle w:val="4"/>
        <w:shd w:val="clear" w:color="auto" w:fill="FFFFFF"/>
        <w:wordWrap w:val="0"/>
        <w:spacing w:before="0" w:beforeAutospacing="0" w:after="0" w:afterAutospacing="0"/>
        <w:rPr>
          <w:rFonts w:ascii="-apple-system" w:hAnsi="-apple-system"/>
          <w:color w:val="4B4B4B"/>
          <w:sz w:val="21"/>
          <w:szCs w:val="21"/>
        </w:rPr>
      </w:pPr>
      <w:r>
        <w:rPr>
          <w:rStyle w:val="7"/>
          <w:rFonts w:ascii="-apple-system" w:hAnsi="-apple-system"/>
          <w:color w:val="4B4B4B"/>
          <w:sz w:val="21"/>
          <w:szCs w:val="21"/>
        </w:rPr>
        <w:t>　　二、主要内容及要求</w:t>
      </w:r>
    </w:p>
    <w:p w14:paraId="7997EB2F">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w:t>
      </w:r>
      <w:r>
        <w:rPr>
          <w:rFonts w:hint="eastAsia" w:ascii="-apple-system" w:hAnsi="-apple-system"/>
          <w:color w:val="4B4B4B"/>
          <w:sz w:val="21"/>
          <w:szCs w:val="21"/>
        </w:rPr>
        <w:t>专业人才培养方案包括专业名称及代码、入学要求、修业年限、职业面向、培养目标与人才规格、课程设置、学时安排、教学进程总体安排、实施保障、毕业要求等内容，并附教学进程安排表等。学校可根据区域经济社会发展需求、办学特色和专业实际等合理增加专业人才培养方案要素。《指导意见》从明确培养目标、规范课程设置、合理安排学时、强化实践环节、严格毕业要求、推动书证融通、加强分类指导等</w:t>
      </w:r>
      <w:r>
        <w:rPr>
          <w:rFonts w:ascii="-apple-system" w:hAnsi="-apple-system"/>
          <w:color w:val="4B4B4B"/>
          <w:sz w:val="21"/>
          <w:szCs w:val="21"/>
        </w:rPr>
        <w:t>7</w:t>
      </w:r>
      <w:r>
        <w:rPr>
          <w:rFonts w:hint="eastAsia" w:ascii="-apple-system" w:hAnsi="-apple-system"/>
          <w:color w:val="4B4B4B"/>
          <w:sz w:val="21"/>
          <w:szCs w:val="21"/>
        </w:rPr>
        <w:t>个方面对职业院校专业人才培养方案制订提出了具体要求</w:t>
      </w:r>
      <w:r>
        <w:rPr>
          <w:rFonts w:ascii="-apple-system" w:hAnsi="-apple-system"/>
          <w:color w:val="4B4B4B"/>
          <w:sz w:val="21"/>
          <w:szCs w:val="21"/>
        </w:rPr>
        <w:t>。</w:t>
      </w:r>
    </w:p>
    <w:p w14:paraId="54267225">
      <w:pPr>
        <w:pStyle w:val="4"/>
        <w:shd w:val="clear" w:color="auto" w:fill="FFFFFF"/>
        <w:wordWrap w:val="0"/>
        <w:spacing w:before="0" w:beforeAutospacing="0" w:after="0" w:afterAutospacing="0"/>
        <w:rPr>
          <w:rFonts w:ascii="-apple-system" w:hAnsi="-apple-system"/>
          <w:color w:val="4B4B4B"/>
          <w:sz w:val="21"/>
          <w:szCs w:val="21"/>
        </w:rPr>
      </w:pPr>
      <w:r>
        <w:rPr>
          <w:rStyle w:val="7"/>
          <w:rFonts w:ascii="-apple-system" w:hAnsi="-apple-system"/>
          <w:color w:val="4B4B4B"/>
          <w:sz w:val="21"/>
          <w:szCs w:val="21"/>
        </w:rPr>
        <w:t>　　三、制订程序</w:t>
      </w:r>
    </w:p>
    <w:p w14:paraId="61F5C9E2">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（一）规划与设计。学校应当根据本意见要求，统筹规划，制定专业人才培养方案制（修）订的具体工作方案。</w:t>
      </w:r>
    </w:p>
    <w:p w14:paraId="2D4ED824">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二）调研与分析。各专业建设委员会要做好行业企业调研、毕业生跟踪调研和在校生学情调研，分析产业发展趋势和行业企业人才需求，明确本专业面向的职业岗位（群）所需要的知识、能力、素质，形成专业人才培养调研报告。</w:t>
      </w:r>
    </w:p>
    <w:p w14:paraId="44C6AC47">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三）起草与审定。结合实际落实专业教学标准，准确定位专业人才培养目标与培养规格，合理构建课程体系、安排教学进程，明确教学内容、教学方法、教学资源、教学条件保障等要求。学校组织由行业企业、教研机构、校内外一线教师和学生代表等参加的论证会，对专业人才培养方案进行论证后，提交校级党组织会议审定。</w:t>
      </w:r>
    </w:p>
    <w:p w14:paraId="14CBF969">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（四）发布与更新。审定通过的专业人才培养方案，学校按程序发布执行，报上级教育行政部门备案，并通过学校网站等主动向社会公开，接受全社会监督。</w:t>
      </w:r>
    </w:p>
    <w:p w14:paraId="702BEDE9">
      <w:pPr>
        <w:pStyle w:val="4"/>
        <w:shd w:val="clear" w:color="auto" w:fill="FFFFFF"/>
        <w:wordWrap w:val="0"/>
        <w:spacing w:before="0" w:beforeAutospacing="0" w:after="0" w:afterAutospacing="0"/>
        <w:rPr>
          <w:rFonts w:ascii="-apple-system" w:hAnsi="-apple-system"/>
          <w:color w:val="4B4B4B"/>
          <w:sz w:val="21"/>
          <w:szCs w:val="21"/>
        </w:rPr>
      </w:pPr>
      <w:r>
        <w:rPr>
          <w:rStyle w:val="7"/>
          <w:rFonts w:ascii="-apple-system" w:hAnsi="-apple-system"/>
          <w:color w:val="4B4B4B"/>
          <w:sz w:val="21"/>
          <w:szCs w:val="21"/>
        </w:rPr>
        <w:t>　　四、实施要求</w:t>
      </w:r>
    </w:p>
    <w:p w14:paraId="6052E965">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一）全面加强党的领导。加强党的领导是做好职业院校专业人才培养方案制订与实施工作的根本保证。职业院校在地方党委领导下，坚持以习近平新时代中国特色社会主义思想为指导，切实加强对专业人才培养方案制订与实施工作的领导。</w:t>
      </w:r>
    </w:p>
    <w:p w14:paraId="67D0BB4E">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（二）强化课程思政。积极构建“思政课程+课程思政”大格局，推进全员全过程全方位“三全育人”，实现思想政治教育与技术技能培养的有机统一。结合职业院校学生特点，创新思政课程教学模式。</w:t>
      </w:r>
    </w:p>
    <w:p w14:paraId="4DAE8397">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（三）组织开发专业课程标准和教案。要根据专业人才培养方案总体要求，制（修）订专业课程标准，明确课程目标，优化课程内容，规范教学过程，及时将新技术、新工艺、新规范纳入课程标准和教学内容。</w:t>
      </w:r>
    </w:p>
    <w:p w14:paraId="3AFB130B">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四）深化教师、教材、教法改革。建设符合项目式、模块化教学需要的教学创新团队，不断优化教师能力结构。健全教材选用制度，选用体现新技术、新工艺、新规范等的高质量教材，引入典型生产案例。加强课堂教学管理，规范教学秩序，打造优质课堂。</w:t>
      </w:r>
    </w:p>
    <w:p w14:paraId="4D166902">
      <w:pPr>
        <w:pStyle w:val="4"/>
        <w:shd w:val="clear" w:color="auto" w:fill="FFFFFF"/>
        <w:wordWrap w:val="0"/>
        <w:spacing w:before="0" w:beforeAutospacing="0" w:after="0" w:afterAutospacing="0"/>
        <w:rPr>
          <w:rFonts w:ascii="-apple-system" w:hAnsi="-apple-system"/>
          <w:color w:val="4B4B4B"/>
          <w:sz w:val="21"/>
          <w:szCs w:val="21"/>
        </w:rPr>
      </w:pPr>
      <w:r>
        <w:rPr>
          <w:rFonts w:ascii="-apple-system" w:hAnsi="-apple-system"/>
          <w:color w:val="4B4B4B"/>
          <w:sz w:val="21"/>
          <w:szCs w:val="21"/>
        </w:rPr>
        <w:t>　　（五）推进信息技术与教学有机融合。适应“互联网+职业教育”新要求，全面提升教师信息技术应用能力，推动大数据、人工智能、虚拟现实等现代信息技术在教育教学中的广泛应用，积极推动教师角色的转变和教育理念、教学观念、教学内容、教学方法以及教学评价等方面的改革。</w:t>
      </w:r>
    </w:p>
    <w:p w14:paraId="27ACAA3E">
      <w:pPr>
        <w:pStyle w:val="4"/>
        <w:shd w:val="clear" w:color="auto" w:fill="FFFFFF"/>
        <w:wordWrap w:val="0"/>
        <w:spacing w:before="0" w:beforeAutospacing="0" w:after="0" w:afterAutospacing="0"/>
        <w:ind w:firstLine="420"/>
        <w:rPr>
          <w:rFonts w:hint="eastAsia" w:ascii="-apple-system" w:hAnsi="-apple-system"/>
          <w:color w:val="4B4B4B"/>
          <w:sz w:val="21"/>
          <w:szCs w:val="21"/>
        </w:rPr>
      </w:pPr>
      <w:r>
        <w:rPr>
          <w:rFonts w:ascii="-apple-system" w:hAnsi="-apple-system"/>
          <w:color w:val="4B4B4B"/>
          <w:sz w:val="21"/>
          <w:szCs w:val="21"/>
        </w:rPr>
        <w:t>（六）改进学习过程管理与评价。严格落实培养目标和培养规格要求，加大过程考核、实践技能考核成绩在课程总成绩中的比重。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pple-system">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汉仪君黑-45简">
    <w:altName w:val="汉仪君黑-45简"/>
    <w:panose1 w:val="020B0604020202020204"/>
    <w:charset w:val="86"/>
    <w:family w:val="auto"/>
    <w:pitch w:val="default"/>
    <w:sig w:usb0="A00002BF" w:usb1="0ACF7CFA" w:usb2="00000016" w:usb3="00000000" w:csb0="2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6E"/>
    <w:rsid w:val="000662C3"/>
    <w:rsid w:val="00084603"/>
    <w:rsid w:val="00122FA6"/>
    <w:rsid w:val="00485769"/>
    <w:rsid w:val="007165A0"/>
    <w:rsid w:val="007D2BE1"/>
    <w:rsid w:val="00914C6E"/>
    <w:rsid w:val="00BA02E4"/>
    <w:rsid w:val="00DE2332"/>
    <w:rsid w:val="00F21760"/>
    <w:rsid w:val="00FC1644"/>
    <w:rsid w:val="0F8178FE"/>
    <w:rsid w:val="6E62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1359</Words>
  <Characters>1359</Characters>
  <Lines>9</Lines>
  <Paragraphs>2</Paragraphs>
  <TotalTime>12</TotalTime>
  <ScaleCrop>false</ScaleCrop>
  <LinksUpToDate>false</LinksUpToDate>
  <CharactersWithSpaces>1387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2023-09-27T04:39:00Z</dcterms:created>
  <dc:creator>ZhouWonder</dc:creator>
  <cp:lastModifiedBy>WPS_1694649758</cp:lastModifiedBy>
  <dcterms:modified xsi:type="dcterms:W3CDTF">2025-04-16T01:15:15Z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eyJoZGlkIjoiNWNkOGJhNTU4Mzg0Y2YwYTg5NjI2YjI5Mjk4YjdjNDgiLCJ1c2VySWQiOiIxNTMyNTE3MDY4In0=</vt:lpwstr>
  </property>
  <property fmtid="{D5CDD505-2E9C-101B-9397-08002B2CF9AE}" pid="3" name="KSOProductBuildVer">
    <vt:lpwstr>2052-12.1.0.20784</vt:lpwstr>
  </property>
  <property fmtid="{D5CDD505-2E9C-101B-9397-08002B2CF9AE}" pid="4" name="ICV">
    <vt:lpwstr>2679E6E8569A44E590649A5318F25CF6_12</vt:lpwstr>
  </property>
</Properties>
</file>